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4B9" w:rsidRDefault="00FE7748" w:rsidP="00FE7748">
      <w:pPr>
        <w:rPr>
          <w:rFonts w:ascii="Trebuchet MS" w:hAnsi="Trebuchet MS"/>
          <w:sz w:val="48"/>
          <w:szCs w:val="48"/>
        </w:rPr>
      </w:pPr>
      <w:bookmarkStart w:id="0" w:name="_GoBack"/>
      <w:bookmarkEnd w:id="0"/>
      <w:r>
        <w:rPr>
          <w:rFonts w:ascii="Trebuchet MS" w:hAnsi="Trebuchet MS"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67055DDD" wp14:editId="53EED7FA">
            <wp:simplePos x="0" y="0"/>
            <wp:positionH relativeFrom="column">
              <wp:posOffset>5448300</wp:posOffset>
            </wp:positionH>
            <wp:positionV relativeFrom="paragraph">
              <wp:posOffset>0</wp:posOffset>
            </wp:positionV>
            <wp:extent cx="508000" cy="556260"/>
            <wp:effectExtent l="0" t="0" r="6350" b="0"/>
            <wp:wrapTight wrapText="bothSides">
              <wp:wrapPolygon edited="0">
                <wp:start x="0" y="0"/>
                <wp:lineTo x="0" y="20712"/>
                <wp:lineTo x="21060" y="20712"/>
                <wp:lineTo x="2106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us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sz w:val="48"/>
          <w:szCs w:val="48"/>
        </w:rPr>
        <w:t xml:space="preserve">Think Layers, Not Ladders </w:t>
      </w:r>
      <w:r>
        <w:rPr>
          <w:rFonts w:ascii="Trebuchet MS" w:hAnsi="Trebuchet MS"/>
          <w:sz w:val="48"/>
          <w:szCs w:val="48"/>
        </w:rPr>
        <w:tab/>
      </w:r>
      <w:r>
        <w:rPr>
          <w:rFonts w:ascii="Trebuchet MS" w:hAnsi="Trebuchet MS"/>
          <w:sz w:val="48"/>
          <w:szCs w:val="48"/>
        </w:rPr>
        <w:tab/>
      </w:r>
      <w:r>
        <w:rPr>
          <w:rFonts w:ascii="Trebuchet MS" w:hAnsi="Trebuchet MS"/>
          <w:sz w:val="48"/>
          <w:szCs w:val="48"/>
        </w:rPr>
        <w:tab/>
      </w:r>
      <w:r>
        <w:rPr>
          <w:rFonts w:ascii="Trebuchet MS" w:hAnsi="Trebuchet MS"/>
          <w:sz w:val="48"/>
          <w:szCs w:val="48"/>
        </w:rPr>
        <w:tab/>
        <w:t xml:space="preserve">  </w:t>
      </w:r>
    </w:p>
    <w:p w:rsidR="00FE7748" w:rsidRDefault="00FE7748">
      <w:pPr>
        <w:rPr>
          <w:sz w:val="32"/>
          <w:szCs w:val="32"/>
        </w:rPr>
      </w:pPr>
      <w:r>
        <w:rPr>
          <w:sz w:val="32"/>
          <w:szCs w:val="32"/>
        </w:rPr>
        <w:t xml:space="preserve">The strategy of grassroots </w:t>
      </w:r>
      <w:proofErr w:type="spellStart"/>
      <w:r>
        <w:rPr>
          <w:sz w:val="32"/>
          <w:szCs w:val="32"/>
        </w:rPr>
        <w:t>grantmaking</w:t>
      </w:r>
      <w:proofErr w:type="spellEnd"/>
    </w:p>
    <w:p w:rsidR="006250D3" w:rsidRDefault="006250D3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is</w:t>
      </w:r>
      <w:proofErr w:type="gramEnd"/>
      <w:r>
        <w:rPr>
          <w:sz w:val="32"/>
          <w:szCs w:val="32"/>
        </w:rPr>
        <w:t xml:space="preserve"> built on the engagement of local residents</w:t>
      </w:r>
    </w:p>
    <w:p w:rsidR="00FE7748" w:rsidRDefault="00CA5689">
      <w:pPr>
        <w:rPr>
          <w:sz w:val="32"/>
          <w:szCs w:val="32"/>
        </w:rPr>
      </w:pPr>
      <w:r w:rsidRPr="00CA5689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E75D07C" wp14:editId="68CC1AE8">
                <wp:simplePos x="0" y="0"/>
                <wp:positionH relativeFrom="column">
                  <wp:posOffset>847725</wp:posOffset>
                </wp:positionH>
                <wp:positionV relativeFrom="paragraph">
                  <wp:posOffset>197485</wp:posOffset>
                </wp:positionV>
                <wp:extent cx="5457825" cy="1638300"/>
                <wp:effectExtent l="0" t="0" r="952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825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5689" w:rsidRDefault="00CA5689" w:rsidP="00CA568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Effective grassroots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grantmakers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maintain their commitment to the fundamental work of stimulating and supporting active citizenship,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then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build other work on this platform – like adding layers to a cake.  They also realize that more layers require more resources and more institutional commitment and risk taking.</w:t>
                            </w:r>
                          </w:p>
                          <w:p w:rsidR="00CA5689" w:rsidRDefault="00CA5689" w:rsidP="00CA568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A5689" w:rsidRDefault="00CA5689" w:rsidP="00CA568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Thinking layers, not ladders, suggests that “building on” rather than “moving on” (i.e., stepping up the rungs of a ladder) is the most effective strategy for grassroots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grantmaking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D22666" w:rsidRDefault="00D22666" w:rsidP="00CA568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22666" w:rsidRDefault="00D22666" w:rsidP="00CA568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22666" w:rsidRDefault="00D22666" w:rsidP="00CA568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22666" w:rsidRDefault="00D22666" w:rsidP="00CA568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22666" w:rsidRDefault="00D22666" w:rsidP="00CA568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A5689" w:rsidRDefault="00CA56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E75D0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6.75pt;margin-top:15.55pt;width:429.75pt;height:12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" stroked="f">
                <v:textbox>
                  <w:txbxContent>
                    <w:p w:rsidR="00CA5689" w:rsidRDefault="00CA5689" w:rsidP="00CA568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Effective grassroots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grantmakers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maintain their commitment to the fundamental work of stimulating and supporting active citizenship, then build other work on this platform – like adding layers to a cake.  They also realize that more layers require more resources and more institutional commitment and risk taking.</w:t>
                      </w:r>
                    </w:p>
                    <w:p w:rsidR="00CA5689" w:rsidRDefault="00CA5689" w:rsidP="00CA5689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CA5689" w:rsidRDefault="00CA5689" w:rsidP="00CA568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Thinking layers, not ladders, suggests that “building on” rather than “moving on” (i.e., stepping up the rungs of a ladder) is the most effective strategy for grassroots grantmaking.</w:t>
                      </w:r>
                    </w:p>
                    <w:p w:rsidR="00D22666" w:rsidRDefault="00D22666" w:rsidP="00CA5689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D22666" w:rsidRDefault="00D22666" w:rsidP="00CA5689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D22666" w:rsidRDefault="00D22666" w:rsidP="00CA5689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D22666" w:rsidRDefault="00D22666" w:rsidP="00CA5689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D22666" w:rsidRDefault="00D22666" w:rsidP="00CA5689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CA5689" w:rsidRDefault="00CA5689"/>
                  </w:txbxContent>
                </v:textbox>
                <w10:wrap type="square"/>
              </v:shape>
            </w:pict>
          </mc:Fallback>
        </mc:AlternateContent>
      </w:r>
    </w:p>
    <w:p w:rsidR="00CA5689" w:rsidRDefault="00CA5689">
      <w:pPr>
        <w:rPr>
          <w:sz w:val="24"/>
          <w:szCs w:val="24"/>
        </w:rPr>
      </w:pPr>
    </w:p>
    <w:p w:rsidR="00CA5689" w:rsidRDefault="00CA5689">
      <w:pPr>
        <w:rPr>
          <w:sz w:val="24"/>
          <w:szCs w:val="24"/>
        </w:rPr>
      </w:pPr>
    </w:p>
    <w:p w:rsidR="00FE7748" w:rsidRDefault="00FE7748">
      <w:pPr>
        <w:rPr>
          <w:sz w:val="24"/>
          <w:szCs w:val="24"/>
        </w:rPr>
      </w:pPr>
    </w:p>
    <w:p w:rsidR="00FE7748" w:rsidRDefault="00FE7748">
      <w:pPr>
        <w:rPr>
          <w:sz w:val="24"/>
          <w:szCs w:val="24"/>
        </w:rPr>
      </w:pPr>
    </w:p>
    <w:p w:rsidR="00FE7748" w:rsidRDefault="00FE7748">
      <w:pPr>
        <w:rPr>
          <w:sz w:val="24"/>
          <w:szCs w:val="24"/>
        </w:rPr>
      </w:pPr>
    </w:p>
    <w:p w:rsidR="00FE7748" w:rsidRDefault="00FE7748">
      <w:pPr>
        <w:rPr>
          <w:sz w:val="24"/>
          <w:szCs w:val="24"/>
        </w:rPr>
      </w:pPr>
    </w:p>
    <w:p w:rsidR="00FE7748" w:rsidRDefault="00FE7748">
      <w:pPr>
        <w:rPr>
          <w:sz w:val="24"/>
          <w:szCs w:val="24"/>
        </w:rPr>
      </w:pPr>
    </w:p>
    <w:p w:rsidR="00CA5689" w:rsidRDefault="00CA5689">
      <w:pPr>
        <w:rPr>
          <w:rFonts w:ascii="Trebuchet MS" w:hAnsi="Trebuchet MS"/>
          <w:sz w:val="48"/>
          <w:szCs w:val="48"/>
        </w:rPr>
      </w:pPr>
    </w:p>
    <w:tbl>
      <w:tblPr>
        <w:tblStyle w:val="TableGrid"/>
        <w:tblpPr w:leftFromText="180" w:rightFromText="180" w:vertAnchor="text" w:horzAnchor="margin" w:tblpXSpec="right" w:tblpY="762"/>
        <w:tblW w:w="0" w:type="auto"/>
        <w:tblLayout w:type="fixed"/>
        <w:tblLook w:val="04A0" w:firstRow="1" w:lastRow="0" w:firstColumn="1" w:lastColumn="0" w:noHBand="0" w:noVBand="1"/>
      </w:tblPr>
      <w:tblGrid>
        <w:gridCol w:w="450"/>
        <w:gridCol w:w="625"/>
        <w:gridCol w:w="2435"/>
        <w:gridCol w:w="2880"/>
      </w:tblGrid>
      <w:tr w:rsidR="006250D3" w:rsidRPr="00CA5689" w:rsidTr="00D22666">
        <w:trPr>
          <w:cantSplit/>
          <w:trHeight w:val="440"/>
        </w:trPr>
        <w:tc>
          <w:tcPr>
            <w:tcW w:w="450" w:type="dxa"/>
            <w:vMerge w:val="restart"/>
            <w:textDirection w:val="btLr"/>
          </w:tcPr>
          <w:p w:rsidR="006250D3" w:rsidRDefault="00804E72" w:rsidP="00D22666">
            <w:pPr>
              <w:ind w:left="113" w:right="113"/>
              <w:rPr>
                <w:rFonts w:ascii="Trebuchet MS" w:hAnsi="Trebuchet MS"/>
                <w:b/>
                <w:sz w:val="24"/>
                <w:szCs w:val="24"/>
              </w:rPr>
            </w:pPr>
            <w:r w:rsidRPr="006250D3">
              <w:rPr>
                <w:rFonts w:ascii="Trebuchet MS" w:hAnsi="Trebuchet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E083C0E" wp14:editId="0CF4A946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-4780280</wp:posOffset>
                      </wp:positionV>
                      <wp:extent cx="76200" cy="571500"/>
                      <wp:effectExtent l="19050" t="19050" r="38100" b="19050"/>
                      <wp:wrapNone/>
                      <wp:docPr id="5" name="Up Arrow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76200" cy="571500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3ACA2F1A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Up Arrow 5" o:spid="_x0000_s1026" type="#_x0000_t68" style="position:absolute;margin-left:2.35pt;margin-top:-376.4pt;width:6pt;height:4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" adj="1440" fillcolor="black [3200]" strokecolor="black [1600]" strokeweight="1pt"/>
                  </w:pict>
                </mc:Fallback>
              </mc:AlternateContent>
            </w:r>
            <w:r w:rsidR="006250D3">
              <w:rPr>
                <w:rFonts w:ascii="Trebuchet MS" w:hAnsi="Trebuchet MS"/>
                <w:b/>
                <w:sz w:val="24"/>
                <w:szCs w:val="24"/>
              </w:rPr>
              <w:t>More institutional commitment and resources required</w:t>
            </w:r>
          </w:p>
          <w:p w:rsidR="006250D3" w:rsidRPr="006250D3" w:rsidRDefault="006250D3" w:rsidP="00D22666">
            <w:pPr>
              <w:ind w:left="113" w:right="113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625" w:type="dxa"/>
            <w:textDirection w:val="btLr"/>
          </w:tcPr>
          <w:p w:rsidR="006250D3" w:rsidRPr="00CA5689" w:rsidRDefault="006250D3" w:rsidP="00D22666">
            <w:pPr>
              <w:ind w:left="113" w:right="113"/>
              <w:rPr>
                <w:rFonts w:ascii="Trebuchet MS" w:hAnsi="Trebuchet MS"/>
                <w:sz w:val="32"/>
                <w:szCs w:val="32"/>
              </w:rPr>
            </w:pPr>
          </w:p>
        </w:tc>
        <w:tc>
          <w:tcPr>
            <w:tcW w:w="2435" w:type="dxa"/>
          </w:tcPr>
          <w:p w:rsidR="006250D3" w:rsidRPr="00CA5689" w:rsidRDefault="006250D3" w:rsidP="00D22666">
            <w:pPr>
              <w:rPr>
                <w:rFonts w:ascii="Trebuchet MS" w:hAnsi="Trebuchet MS"/>
                <w:sz w:val="32"/>
                <w:szCs w:val="32"/>
              </w:rPr>
            </w:pPr>
            <w:r w:rsidRPr="00CA5689">
              <w:rPr>
                <w:rFonts w:ascii="Trebuchet MS" w:hAnsi="Trebuchet MS"/>
                <w:sz w:val="32"/>
                <w:szCs w:val="32"/>
              </w:rPr>
              <w:t>FOCUS</w:t>
            </w:r>
          </w:p>
        </w:tc>
        <w:tc>
          <w:tcPr>
            <w:tcW w:w="2880" w:type="dxa"/>
          </w:tcPr>
          <w:p w:rsidR="006250D3" w:rsidRPr="00CA5689" w:rsidRDefault="006250D3" w:rsidP="00D22666">
            <w:pPr>
              <w:rPr>
                <w:rFonts w:ascii="Trebuchet MS" w:hAnsi="Trebuchet MS"/>
                <w:sz w:val="32"/>
                <w:szCs w:val="32"/>
              </w:rPr>
            </w:pPr>
            <w:r w:rsidRPr="00CA5689">
              <w:rPr>
                <w:rFonts w:ascii="Trebuchet MS" w:hAnsi="Trebuchet MS"/>
                <w:sz w:val="32"/>
                <w:szCs w:val="32"/>
              </w:rPr>
              <w:t>TOOLS</w:t>
            </w:r>
          </w:p>
        </w:tc>
      </w:tr>
      <w:tr w:rsidR="006250D3" w:rsidRPr="006F4BA1" w:rsidTr="00D22666">
        <w:trPr>
          <w:cantSplit/>
          <w:trHeight w:val="2543"/>
        </w:trPr>
        <w:tc>
          <w:tcPr>
            <w:tcW w:w="450" w:type="dxa"/>
            <w:vMerge/>
            <w:textDirection w:val="btLr"/>
          </w:tcPr>
          <w:p w:rsidR="006250D3" w:rsidRPr="006250D3" w:rsidRDefault="006250D3" w:rsidP="00D22666">
            <w:pPr>
              <w:ind w:left="113" w:right="113"/>
              <w:rPr>
                <w:rFonts w:ascii="Trebuchet MS" w:hAnsi="Trebuchet MS"/>
                <w:b/>
                <w:color w:val="00B0F0"/>
                <w:sz w:val="20"/>
                <w:szCs w:val="20"/>
              </w:rPr>
            </w:pPr>
          </w:p>
        </w:tc>
        <w:tc>
          <w:tcPr>
            <w:tcW w:w="625" w:type="dxa"/>
            <w:textDirection w:val="btLr"/>
          </w:tcPr>
          <w:p w:rsidR="006250D3" w:rsidRPr="006250D3" w:rsidRDefault="00804E72" w:rsidP="00D22666">
            <w:pPr>
              <w:ind w:left="113" w:right="113"/>
              <w:rPr>
                <w:rFonts w:ascii="Trebuchet MS" w:hAnsi="Trebuchet MS"/>
                <w:b/>
                <w:color w:val="00B0F0"/>
                <w:sz w:val="20"/>
                <w:szCs w:val="20"/>
              </w:rPr>
            </w:pPr>
            <w:r>
              <w:rPr>
                <w:rFonts w:ascii="Trebuchet MS" w:hAnsi="Trebuchet MS"/>
                <w:b/>
                <w:color w:val="00B0F0"/>
                <w:sz w:val="20"/>
                <w:szCs w:val="20"/>
              </w:rPr>
              <w:t>C</w:t>
            </w:r>
            <w:r w:rsidR="006250D3" w:rsidRPr="006250D3">
              <w:rPr>
                <w:rFonts w:ascii="Trebuchet MS" w:hAnsi="Trebuchet MS"/>
                <w:b/>
                <w:color w:val="00B0F0"/>
                <w:sz w:val="20"/>
                <w:szCs w:val="20"/>
              </w:rPr>
              <w:t>itizen-centered change</w:t>
            </w:r>
          </w:p>
        </w:tc>
        <w:tc>
          <w:tcPr>
            <w:tcW w:w="2435" w:type="dxa"/>
          </w:tcPr>
          <w:p w:rsidR="00804E72" w:rsidRDefault="00804E72" w:rsidP="00D22666">
            <w:pPr>
              <w:pStyle w:val="ListParagraph"/>
              <w:ind w:left="360"/>
              <w:rPr>
                <w:rFonts w:ascii="Trebuchet MS" w:hAnsi="Trebuchet MS"/>
                <w:color w:val="00B0F0"/>
                <w:sz w:val="20"/>
                <w:szCs w:val="20"/>
              </w:rPr>
            </w:pPr>
          </w:p>
          <w:p w:rsidR="006250D3" w:rsidRPr="006250D3" w:rsidRDefault="00804E72" w:rsidP="00D22666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Trebuchet MS" w:hAnsi="Trebuchet MS"/>
                <w:color w:val="00B0F0"/>
                <w:sz w:val="20"/>
                <w:szCs w:val="20"/>
              </w:rPr>
            </w:pPr>
            <w:r>
              <w:rPr>
                <w:rFonts w:ascii="Trebuchet MS" w:hAnsi="Trebuchet MS"/>
                <w:color w:val="00B0F0"/>
                <w:sz w:val="20"/>
                <w:szCs w:val="20"/>
              </w:rPr>
              <w:t>Bringing shared vision</w:t>
            </w:r>
            <w:r w:rsidR="006250D3" w:rsidRPr="006250D3">
              <w:rPr>
                <w:rFonts w:ascii="Trebuchet MS" w:hAnsi="Trebuchet MS"/>
                <w:color w:val="00B0F0"/>
                <w:sz w:val="20"/>
                <w:szCs w:val="20"/>
              </w:rPr>
              <w:t xml:space="preserve"> to policy-level discussions</w:t>
            </w:r>
          </w:p>
          <w:p w:rsidR="006250D3" w:rsidRPr="006250D3" w:rsidRDefault="006250D3" w:rsidP="00D22666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Trebuchet MS" w:hAnsi="Trebuchet MS"/>
                <w:color w:val="00B0F0"/>
                <w:sz w:val="20"/>
                <w:szCs w:val="20"/>
              </w:rPr>
            </w:pPr>
            <w:r w:rsidRPr="006250D3">
              <w:rPr>
                <w:rFonts w:ascii="Trebuchet MS" w:hAnsi="Trebuchet MS"/>
                <w:color w:val="00B0F0"/>
                <w:sz w:val="20"/>
                <w:szCs w:val="20"/>
              </w:rPr>
              <w:t>Building political will and muscle</w:t>
            </w:r>
          </w:p>
          <w:p w:rsidR="00804E72" w:rsidRDefault="00804E72" w:rsidP="00D22666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Trebuchet MS" w:hAnsi="Trebuchet MS"/>
                <w:color w:val="00B0F0"/>
                <w:sz w:val="20"/>
                <w:szCs w:val="20"/>
              </w:rPr>
            </w:pPr>
            <w:r>
              <w:rPr>
                <w:rFonts w:ascii="Trebuchet MS" w:hAnsi="Trebuchet MS"/>
                <w:color w:val="00B0F0"/>
                <w:sz w:val="20"/>
                <w:szCs w:val="20"/>
              </w:rPr>
              <w:t>Co-creating</w:t>
            </w:r>
            <w:r w:rsidR="006250D3" w:rsidRPr="006250D3">
              <w:rPr>
                <w:rFonts w:ascii="Trebuchet MS" w:hAnsi="Trebuchet MS"/>
                <w:color w:val="00B0F0"/>
                <w:sz w:val="20"/>
                <w:szCs w:val="20"/>
              </w:rPr>
              <w:t xml:space="preserve"> a shared vision and an action agenda</w:t>
            </w:r>
          </w:p>
          <w:p w:rsidR="00253C7E" w:rsidRPr="00253C7E" w:rsidRDefault="00253C7E" w:rsidP="00D22666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Trebuchet MS" w:hAnsi="Trebuchet MS"/>
                <w:color w:val="00B0F0"/>
                <w:sz w:val="20"/>
                <w:szCs w:val="20"/>
              </w:rPr>
            </w:pPr>
            <w:r>
              <w:rPr>
                <w:rFonts w:ascii="Trebuchet MS" w:hAnsi="Trebuchet MS"/>
                <w:color w:val="00B0F0"/>
                <w:sz w:val="20"/>
                <w:szCs w:val="20"/>
              </w:rPr>
              <w:t>Commitment to strategic change</w:t>
            </w:r>
          </w:p>
        </w:tc>
        <w:tc>
          <w:tcPr>
            <w:tcW w:w="2880" w:type="dxa"/>
          </w:tcPr>
          <w:p w:rsidR="00804E72" w:rsidRDefault="00804E72" w:rsidP="00D22666">
            <w:pPr>
              <w:pStyle w:val="ListParagraph"/>
              <w:ind w:left="360"/>
              <w:rPr>
                <w:rFonts w:ascii="Trebuchet MS" w:hAnsi="Trebuchet MS"/>
                <w:color w:val="00B0F0"/>
                <w:sz w:val="20"/>
                <w:szCs w:val="20"/>
              </w:rPr>
            </w:pPr>
          </w:p>
          <w:p w:rsidR="006250D3" w:rsidRDefault="006250D3" w:rsidP="00D22666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Trebuchet MS" w:hAnsi="Trebuchet MS"/>
                <w:color w:val="00B0F0"/>
                <w:sz w:val="20"/>
                <w:szCs w:val="20"/>
              </w:rPr>
            </w:pPr>
            <w:r w:rsidRPr="006250D3">
              <w:rPr>
                <w:rFonts w:ascii="Trebuchet MS" w:hAnsi="Trebuchet MS"/>
                <w:color w:val="00B0F0"/>
                <w:sz w:val="20"/>
                <w:szCs w:val="20"/>
              </w:rPr>
              <w:t>Community organizing</w:t>
            </w:r>
          </w:p>
          <w:p w:rsidR="00253C7E" w:rsidRPr="006250D3" w:rsidRDefault="00253C7E" w:rsidP="00D22666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Trebuchet MS" w:hAnsi="Trebuchet MS"/>
                <w:color w:val="00B0F0"/>
                <w:sz w:val="20"/>
                <w:szCs w:val="20"/>
              </w:rPr>
            </w:pPr>
            <w:r>
              <w:rPr>
                <w:rFonts w:ascii="Trebuchet MS" w:hAnsi="Trebuchet MS"/>
                <w:color w:val="00B0F0"/>
                <w:sz w:val="20"/>
                <w:szCs w:val="20"/>
              </w:rPr>
              <w:t>Partnerships and collaborations</w:t>
            </w:r>
          </w:p>
          <w:p w:rsidR="006250D3" w:rsidRPr="006250D3" w:rsidRDefault="00253C7E" w:rsidP="00D22666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Trebuchet MS" w:hAnsi="Trebuchet MS"/>
                <w:color w:val="00B0F0"/>
                <w:sz w:val="20"/>
                <w:szCs w:val="20"/>
              </w:rPr>
            </w:pPr>
            <w:r>
              <w:rPr>
                <w:rFonts w:ascii="Trebuchet MS" w:hAnsi="Trebuchet MS"/>
                <w:color w:val="00B0F0"/>
                <w:sz w:val="20"/>
                <w:szCs w:val="20"/>
              </w:rPr>
              <w:t>Critical analysis</w:t>
            </w:r>
          </w:p>
          <w:p w:rsidR="006250D3" w:rsidRPr="006250D3" w:rsidRDefault="00253C7E" w:rsidP="00D22666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Trebuchet MS" w:hAnsi="Trebuchet MS"/>
                <w:color w:val="00B0F0"/>
                <w:sz w:val="20"/>
                <w:szCs w:val="20"/>
              </w:rPr>
            </w:pPr>
            <w:r>
              <w:rPr>
                <w:rFonts w:ascii="Trebuchet MS" w:hAnsi="Trebuchet MS"/>
                <w:color w:val="00B0F0"/>
                <w:sz w:val="20"/>
                <w:szCs w:val="20"/>
              </w:rPr>
              <w:t>Build key relationships</w:t>
            </w:r>
          </w:p>
          <w:p w:rsidR="006250D3" w:rsidRPr="006250D3" w:rsidRDefault="00253C7E" w:rsidP="00D22666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Trebuchet MS" w:hAnsi="Trebuchet MS"/>
                <w:color w:val="00B0F0"/>
                <w:sz w:val="20"/>
                <w:szCs w:val="20"/>
              </w:rPr>
            </w:pPr>
            <w:r>
              <w:rPr>
                <w:rFonts w:ascii="Trebuchet MS" w:hAnsi="Trebuchet MS"/>
                <w:color w:val="00B0F0"/>
                <w:sz w:val="20"/>
                <w:szCs w:val="20"/>
              </w:rPr>
              <w:t xml:space="preserve">Management &amp; </w:t>
            </w:r>
            <w:r w:rsidR="006250D3" w:rsidRPr="006250D3">
              <w:rPr>
                <w:rFonts w:ascii="Trebuchet MS" w:hAnsi="Trebuchet MS"/>
                <w:color w:val="00B0F0"/>
                <w:sz w:val="20"/>
                <w:szCs w:val="20"/>
              </w:rPr>
              <w:t xml:space="preserve">Leadership </w:t>
            </w:r>
            <w:r>
              <w:rPr>
                <w:rFonts w:ascii="Trebuchet MS" w:hAnsi="Trebuchet MS"/>
                <w:color w:val="00B0F0"/>
                <w:sz w:val="20"/>
                <w:szCs w:val="20"/>
              </w:rPr>
              <w:t>development</w:t>
            </w:r>
          </w:p>
          <w:p w:rsidR="006250D3" w:rsidRPr="006250D3" w:rsidRDefault="006250D3" w:rsidP="00D22666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Trebuchet MS" w:hAnsi="Trebuchet MS"/>
                <w:color w:val="00B0F0"/>
                <w:sz w:val="20"/>
                <w:szCs w:val="20"/>
              </w:rPr>
            </w:pPr>
            <w:r w:rsidRPr="006250D3">
              <w:rPr>
                <w:rFonts w:ascii="Trebuchet MS" w:hAnsi="Trebuchet MS"/>
                <w:color w:val="00B0F0"/>
                <w:sz w:val="20"/>
                <w:szCs w:val="20"/>
              </w:rPr>
              <w:t>Small grants</w:t>
            </w:r>
          </w:p>
          <w:p w:rsidR="006250D3" w:rsidRPr="006250D3" w:rsidRDefault="00253C7E" w:rsidP="00D22666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Trebuchet MS" w:hAnsi="Trebuchet MS"/>
                <w:color w:val="00B0F0"/>
                <w:sz w:val="20"/>
                <w:szCs w:val="20"/>
              </w:rPr>
            </w:pPr>
            <w:r>
              <w:rPr>
                <w:rFonts w:ascii="Trebuchet MS" w:hAnsi="Trebuchet MS"/>
                <w:color w:val="00B0F0"/>
                <w:sz w:val="20"/>
                <w:szCs w:val="20"/>
              </w:rPr>
              <w:t>Tailored capacity building</w:t>
            </w:r>
          </w:p>
          <w:p w:rsidR="006250D3" w:rsidRPr="006250D3" w:rsidRDefault="006250D3" w:rsidP="00D22666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Trebuchet MS" w:hAnsi="Trebuchet MS"/>
                <w:color w:val="00B0F0"/>
                <w:sz w:val="20"/>
                <w:szCs w:val="20"/>
              </w:rPr>
            </w:pPr>
            <w:r w:rsidRPr="006250D3">
              <w:rPr>
                <w:rFonts w:ascii="Trebuchet MS" w:hAnsi="Trebuchet MS"/>
                <w:color w:val="00B0F0"/>
                <w:sz w:val="20"/>
                <w:szCs w:val="20"/>
              </w:rPr>
              <w:t>Convening</w:t>
            </w:r>
          </w:p>
          <w:p w:rsidR="006250D3" w:rsidRPr="006250D3" w:rsidRDefault="006250D3" w:rsidP="00D22666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Trebuchet MS" w:hAnsi="Trebuchet MS"/>
                <w:color w:val="00B0F0"/>
                <w:sz w:val="20"/>
                <w:szCs w:val="20"/>
              </w:rPr>
            </w:pPr>
            <w:r w:rsidRPr="006250D3">
              <w:rPr>
                <w:rFonts w:ascii="Trebuchet MS" w:hAnsi="Trebuchet MS"/>
                <w:color w:val="00B0F0"/>
                <w:sz w:val="20"/>
                <w:szCs w:val="20"/>
              </w:rPr>
              <w:t>Recognition/celebration</w:t>
            </w:r>
          </w:p>
        </w:tc>
      </w:tr>
      <w:tr w:rsidR="006250D3" w:rsidRPr="00483816" w:rsidTr="00D22666">
        <w:trPr>
          <w:cantSplit/>
          <w:trHeight w:val="1134"/>
        </w:trPr>
        <w:tc>
          <w:tcPr>
            <w:tcW w:w="450" w:type="dxa"/>
            <w:vMerge/>
            <w:textDirection w:val="btLr"/>
          </w:tcPr>
          <w:p w:rsidR="006250D3" w:rsidRPr="006250D3" w:rsidRDefault="006250D3" w:rsidP="00D22666">
            <w:pPr>
              <w:ind w:left="113" w:right="113"/>
              <w:rPr>
                <w:rFonts w:ascii="Trebuchet MS" w:hAnsi="Trebuchet MS"/>
                <w:b/>
                <w:color w:val="FF9900"/>
                <w:sz w:val="20"/>
                <w:szCs w:val="20"/>
              </w:rPr>
            </w:pPr>
          </w:p>
        </w:tc>
        <w:tc>
          <w:tcPr>
            <w:tcW w:w="625" w:type="dxa"/>
            <w:textDirection w:val="btLr"/>
          </w:tcPr>
          <w:p w:rsidR="006250D3" w:rsidRPr="006250D3" w:rsidRDefault="00804E72" w:rsidP="00D22666">
            <w:pPr>
              <w:ind w:left="113" w:right="113"/>
              <w:rPr>
                <w:rFonts w:ascii="Trebuchet MS" w:hAnsi="Trebuchet MS"/>
                <w:b/>
                <w:color w:val="FF9900"/>
                <w:sz w:val="20"/>
                <w:szCs w:val="20"/>
              </w:rPr>
            </w:pPr>
            <w:r>
              <w:rPr>
                <w:rFonts w:ascii="Trebuchet MS" w:hAnsi="Trebuchet MS"/>
                <w:b/>
                <w:color w:val="FF9900"/>
                <w:sz w:val="20"/>
                <w:szCs w:val="20"/>
              </w:rPr>
              <w:t>C</w:t>
            </w:r>
            <w:r w:rsidR="006250D3" w:rsidRPr="006250D3">
              <w:rPr>
                <w:rFonts w:ascii="Trebuchet MS" w:hAnsi="Trebuchet MS"/>
                <w:b/>
                <w:color w:val="FF9900"/>
                <w:sz w:val="20"/>
                <w:szCs w:val="20"/>
              </w:rPr>
              <w:t>ommunity capacity, resident voice</w:t>
            </w:r>
          </w:p>
        </w:tc>
        <w:tc>
          <w:tcPr>
            <w:tcW w:w="2435" w:type="dxa"/>
          </w:tcPr>
          <w:p w:rsidR="00253C7E" w:rsidRDefault="00253C7E" w:rsidP="00D22666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Trebuchet MS" w:hAnsi="Trebuchet MS"/>
                <w:color w:val="FF9900"/>
                <w:sz w:val="20"/>
                <w:szCs w:val="20"/>
              </w:rPr>
            </w:pPr>
            <w:r w:rsidRPr="006250D3">
              <w:rPr>
                <w:rFonts w:ascii="Trebuchet MS" w:hAnsi="Trebuchet MS"/>
                <w:color w:val="FF9900"/>
                <w:sz w:val="20"/>
                <w:szCs w:val="20"/>
              </w:rPr>
              <w:t>Stren</w:t>
            </w:r>
            <w:r>
              <w:rPr>
                <w:rFonts w:ascii="Trebuchet MS" w:hAnsi="Trebuchet MS"/>
                <w:color w:val="FF9900"/>
                <w:sz w:val="20"/>
                <w:szCs w:val="20"/>
              </w:rPr>
              <w:t>gthening internal and external</w:t>
            </w:r>
            <w:r w:rsidRPr="006250D3">
              <w:rPr>
                <w:rFonts w:ascii="Trebuchet MS" w:hAnsi="Trebuchet MS"/>
                <w:color w:val="FF9900"/>
                <w:sz w:val="20"/>
                <w:szCs w:val="20"/>
              </w:rPr>
              <w:t xml:space="preserve"> connection</w:t>
            </w:r>
            <w:r>
              <w:rPr>
                <w:rFonts w:ascii="Trebuchet MS" w:hAnsi="Trebuchet MS"/>
                <w:color w:val="FF9900"/>
                <w:sz w:val="20"/>
                <w:szCs w:val="20"/>
              </w:rPr>
              <w:t>s</w:t>
            </w:r>
          </w:p>
          <w:p w:rsidR="006250D3" w:rsidRPr="006250D3" w:rsidRDefault="006250D3" w:rsidP="00D22666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Trebuchet MS" w:hAnsi="Trebuchet MS"/>
                <w:color w:val="FF9900"/>
                <w:sz w:val="20"/>
                <w:szCs w:val="20"/>
              </w:rPr>
            </w:pPr>
            <w:r w:rsidRPr="006250D3">
              <w:rPr>
                <w:rFonts w:ascii="Trebuchet MS" w:hAnsi="Trebuchet MS"/>
                <w:color w:val="FF9900"/>
                <w:sz w:val="20"/>
                <w:szCs w:val="20"/>
              </w:rPr>
              <w:t>Building organizational strength and resiliency</w:t>
            </w:r>
          </w:p>
          <w:p w:rsidR="006250D3" w:rsidRPr="006250D3" w:rsidRDefault="006250D3" w:rsidP="00D22666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Trebuchet MS" w:hAnsi="Trebuchet MS"/>
                <w:color w:val="FF9900"/>
                <w:sz w:val="20"/>
                <w:szCs w:val="20"/>
              </w:rPr>
            </w:pPr>
            <w:r w:rsidRPr="006250D3">
              <w:rPr>
                <w:rFonts w:ascii="Trebuchet MS" w:hAnsi="Trebuchet MS"/>
                <w:color w:val="FF9900"/>
                <w:sz w:val="20"/>
                <w:szCs w:val="20"/>
              </w:rPr>
              <w:t>Identifying and nurturing community leaders</w:t>
            </w:r>
          </w:p>
          <w:p w:rsidR="00253C7E" w:rsidRPr="006250D3" w:rsidRDefault="00253C7E" w:rsidP="00D22666">
            <w:pPr>
              <w:pStyle w:val="ListParagraph"/>
              <w:ind w:left="360"/>
              <w:rPr>
                <w:rFonts w:ascii="Trebuchet MS" w:hAnsi="Trebuchet MS"/>
                <w:color w:val="FF9900"/>
                <w:sz w:val="20"/>
                <w:szCs w:val="20"/>
              </w:rPr>
            </w:pPr>
          </w:p>
        </w:tc>
        <w:tc>
          <w:tcPr>
            <w:tcW w:w="2880" w:type="dxa"/>
          </w:tcPr>
          <w:p w:rsidR="006250D3" w:rsidRDefault="00804E72" w:rsidP="00D22666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Trebuchet MS" w:hAnsi="Trebuchet MS"/>
                <w:color w:val="FF9900"/>
                <w:sz w:val="20"/>
                <w:szCs w:val="20"/>
              </w:rPr>
            </w:pPr>
            <w:r>
              <w:rPr>
                <w:rFonts w:ascii="Trebuchet MS" w:hAnsi="Trebuchet MS"/>
                <w:color w:val="FF9900"/>
                <w:sz w:val="20"/>
                <w:szCs w:val="20"/>
              </w:rPr>
              <w:t>Critical analysis to develop strategic outlook</w:t>
            </w:r>
          </w:p>
          <w:p w:rsidR="00804E72" w:rsidRPr="006250D3" w:rsidRDefault="00804E72" w:rsidP="00D22666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Trebuchet MS" w:hAnsi="Trebuchet MS"/>
                <w:color w:val="FF9900"/>
                <w:sz w:val="20"/>
                <w:szCs w:val="20"/>
              </w:rPr>
            </w:pPr>
            <w:r>
              <w:rPr>
                <w:rFonts w:ascii="Trebuchet MS" w:hAnsi="Trebuchet MS"/>
                <w:color w:val="FF9900"/>
                <w:sz w:val="20"/>
                <w:szCs w:val="20"/>
              </w:rPr>
              <w:t xml:space="preserve">Build key </w:t>
            </w:r>
            <w:r w:rsidR="00253C7E">
              <w:rPr>
                <w:rFonts w:ascii="Trebuchet MS" w:hAnsi="Trebuchet MS"/>
                <w:color w:val="FF9900"/>
                <w:sz w:val="20"/>
                <w:szCs w:val="20"/>
              </w:rPr>
              <w:t>relationships</w:t>
            </w:r>
          </w:p>
          <w:p w:rsidR="006250D3" w:rsidRPr="00804E72" w:rsidRDefault="00253C7E" w:rsidP="00D22666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Trebuchet MS" w:hAnsi="Trebuchet MS"/>
                <w:color w:val="FF9900"/>
                <w:sz w:val="20"/>
                <w:szCs w:val="20"/>
              </w:rPr>
            </w:pPr>
            <w:r>
              <w:rPr>
                <w:rFonts w:ascii="Trebuchet MS" w:hAnsi="Trebuchet MS"/>
                <w:color w:val="FF9900"/>
                <w:sz w:val="20"/>
                <w:szCs w:val="20"/>
              </w:rPr>
              <w:t>Management &amp;</w:t>
            </w:r>
            <w:r w:rsidR="00804E72">
              <w:rPr>
                <w:rFonts w:ascii="Trebuchet MS" w:hAnsi="Trebuchet MS"/>
                <w:color w:val="FF9900"/>
                <w:sz w:val="20"/>
                <w:szCs w:val="20"/>
              </w:rPr>
              <w:t xml:space="preserve"> Leadership development</w:t>
            </w:r>
          </w:p>
          <w:p w:rsidR="006250D3" w:rsidRPr="006250D3" w:rsidRDefault="006250D3" w:rsidP="00D22666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Trebuchet MS" w:hAnsi="Trebuchet MS"/>
                <w:color w:val="FF9900"/>
                <w:sz w:val="20"/>
                <w:szCs w:val="20"/>
              </w:rPr>
            </w:pPr>
            <w:r w:rsidRPr="006250D3">
              <w:rPr>
                <w:rFonts w:ascii="Trebuchet MS" w:hAnsi="Trebuchet MS"/>
                <w:color w:val="FF9900"/>
                <w:sz w:val="20"/>
                <w:szCs w:val="20"/>
              </w:rPr>
              <w:t>Small grants</w:t>
            </w:r>
          </w:p>
          <w:p w:rsidR="006250D3" w:rsidRPr="006250D3" w:rsidRDefault="00253C7E" w:rsidP="00D22666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Trebuchet MS" w:hAnsi="Trebuchet MS"/>
                <w:color w:val="FF9900"/>
                <w:sz w:val="20"/>
                <w:szCs w:val="20"/>
              </w:rPr>
            </w:pPr>
            <w:r>
              <w:rPr>
                <w:rFonts w:ascii="Trebuchet MS" w:hAnsi="Trebuchet MS"/>
                <w:color w:val="FF9900"/>
                <w:sz w:val="20"/>
                <w:szCs w:val="20"/>
              </w:rPr>
              <w:t>T</w:t>
            </w:r>
            <w:r w:rsidR="00804E72">
              <w:rPr>
                <w:rFonts w:ascii="Trebuchet MS" w:hAnsi="Trebuchet MS"/>
                <w:color w:val="FF9900"/>
                <w:sz w:val="20"/>
                <w:szCs w:val="20"/>
              </w:rPr>
              <w:t>ailored capacity building</w:t>
            </w:r>
          </w:p>
          <w:p w:rsidR="006250D3" w:rsidRPr="006250D3" w:rsidRDefault="006250D3" w:rsidP="00D22666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Trebuchet MS" w:hAnsi="Trebuchet MS"/>
                <w:color w:val="FF9900"/>
                <w:sz w:val="20"/>
                <w:szCs w:val="20"/>
              </w:rPr>
            </w:pPr>
            <w:r w:rsidRPr="006250D3">
              <w:rPr>
                <w:rFonts w:ascii="Trebuchet MS" w:hAnsi="Trebuchet MS"/>
                <w:color w:val="FF9900"/>
                <w:sz w:val="20"/>
                <w:szCs w:val="20"/>
              </w:rPr>
              <w:t>Convening</w:t>
            </w:r>
          </w:p>
          <w:p w:rsidR="006250D3" w:rsidRPr="006250D3" w:rsidRDefault="006250D3" w:rsidP="00D22666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Trebuchet MS" w:hAnsi="Trebuchet MS"/>
                <w:color w:val="FF9900"/>
                <w:sz w:val="20"/>
                <w:szCs w:val="20"/>
              </w:rPr>
            </w:pPr>
            <w:r w:rsidRPr="006250D3">
              <w:rPr>
                <w:rFonts w:ascii="Trebuchet MS" w:hAnsi="Trebuchet MS"/>
                <w:color w:val="FF9900"/>
                <w:sz w:val="20"/>
                <w:szCs w:val="20"/>
              </w:rPr>
              <w:t>Recognition/celebration</w:t>
            </w:r>
          </w:p>
        </w:tc>
      </w:tr>
      <w:tr w:rsidR="006250D3" w:rsidRPr="00483816" w:rsidTr="00D22666">
        <w:trPr>
          <w:cantSplit/>
          <w:trHeight w:val="1967"/>
        </w:trPr>
        <w:tc>
          <w:tcPr>
            <w:tcW w:w="450" w:type="dxa"/>
            <w:vMerge/>
            <w:textDirection w:val="btLr"/>
          </w:tcPr>
          <w:p w:rsidR="006250D3" w:rsidRPr="006250D3" w:rsidRDefault="006250D3" w:rsidP="00D22666">
            <w:pPr>
              <w:ind w:left="113" w:right="113"/>
              <w:rPr>
                <w:rFonts w:ascii="Trebuchet MS" w:hAnsi="Trebuchet MS"/>
                <w:b/>
                <w:color w:val="00CC00"/>
                <w:sz w:val="20"/>
                <w:szCs w:val="20"/>
              </w:rPr>
            </w:pPr>
          </w:p>
        </w:tc>
        <w:tc>
          <w:tcPr>
            <w:tcW w:w="625" w:type="dxa"/>
            <w:textDirection w:val="btLr"/>
          </w:tcPr>
          <w:p w:rsidR="006250D3" w:rsidRPr="006250D3" w:rsidRDefault="00804E72" w:rsidP="00D22666">
            <w:pPr>
              <w:ind w:left="113" w:right="113"/>
              <w:rPr>
                <w:rFonts w:ascii="Trebuchet MS" w:hAnsi="Trebuchet MS"/>
                <w:color w:val="00CC00"/>
                <w:sz w:val="20"/>
                <w:szCs w:val="20"/>
              </w:rPr>
            </w:pPr>
            <w:r>
              <w:rPr>
                <w:rFonts w:ascii="Trebuchet MS" w:hAnsi="Trebuchet MS"/>
                <w:b/>
                <w:color w:val="00CC00"/>
                <w:sz w:val="20"/>
                <w:szCs w:val="20"/>
              </w:rPr>
              <w:t>Citizen action, relationship</w:t>
            </w:r>
          </w:p>
          <w:p w:rsidR="006250D3" w:rsidRPr="006250D3" w:rsidRDefault="006250D3" w:rsidP="00D22666">
            <w:pPr>
              <w:ind w:left="113" w:right="113"/>
              <w:rPr>
                <w:rFonts w:ascii="Trebuchet MS" w:hAnsi="Trebuchet MS"/>
                <w:b/>
                <w:color w:val="00CC00"/>
                <w:sz w:val="20"/>
                <w:szCs w:val="20"/>
              </w:rPr>
            </w:pPr>
          </w:p>
        </w:tc>
        <w:tc>
          <w:tcPr>
            <w:tcW w:w="2435" w:type="dxa"/>
          </w:tcPr>
          <w:p w:rsidR="006250D3" w:rsidRPr="006250D3" w:rsidRDefault="006250D3" w:rsidP="00D22666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rebuchet MS" w:hAnsi="Trebuchet MS"/>
                <w:color w:val="00CC00"/>
                <w:sz w:val="20"/>
                <w:szCs w:val="20"/>
              </w:rPr>
            </w:pPr>
            <w:r w:rsidRPr="006250D3">
              <w:rPr>
                <w:rFonts w:ascii="Trebuchet MS" w:hAnsi="Trebuchet MS"/>
                <w:color w:val="00CC00"/>
                <w:sz w:val="20"/>
                <w:szCs w:val="20"/>
              </w:rPr>
              <w:t>Strengthening social capital</w:t>
            </w:r>
          </w:p>
          <w:p w:rsidR="006250D3" w:rsidRDefault="00804E72" w:rsidP="00D22666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rebuchet MS" w:hAnsi="Trebuchet MS"/>
                <w:color w:val="00CC00"/>
                <w:sz w:val="20"/>
                <w:szCs w:val="20"/>
              </w:rPr>
            </w:pPr>
            <w:r>
              <w:rPr>
                <w:rFonts w:ascii="Trebuchet MS" w:hAnsi="Trebuchet MS"/>
                <w:color w:val="00CC00"/>
                <w:sz w:val="20"/>
                <w:szCs w:val="20"/>
              </w:rPr>
              <w:t>Supporting</w:t>
            </w:r>
            <w:r w:rsidR="006250D3" w:rsidRPr="006250D3">
              <w:rPr>
                <w:rFonts w:ascii="Trebuchet MS" w:hAnsi="Trebuchet MS"/>
                <w:color w:val="00CC00"/>
                <w:sz w:val="20"/>
                <w:szCs w:val="20"/>
              </w:rPr>
              <w:t xml:space="preserve"> citizen-initiated action</w:t>
            </w:r>
          </w:p>
          <w:p w:rsidR="00804E72" w:rsidRDefault="00804E72" w:rsidP="00D22666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rebuchet MS" w:hAnsi="Trebuchet MS"/>
                <w:color w:val="00CC00"/>
                <w:sz w:val="20"/>
                <w:szCs w:val="20"/>
              </w:rPr>
            </w:pPr>
            <w:r>
              <w:rPr>
                <w:rFonts w:ascii="Trebuchet MS" w:hAnsi="Trebuchet MS"/>
                <w:color w:val="00CC00"/>
                <w:sz w:val="20"/>
                <w:szCs w:val="20"/>
              </w:rPr>
              <w:t>Encouraging people-powered projects</w:t>
            </w:r>
          </w:p>
          <w:p w:rsidR="006250D3" w:rsidRPr="006250D3" w:rsidRDefault="00804E72" w:rsidP="00D22666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rebuchet MS" w:hAnsi="Trebuchet MS"/>
                <w:b/>
                <w:color w:val="00CC00"/>
                <w:sz w:val="20"/>
                <w:szCs w:val="20"/>
              </w:rPr>
            </w:pPr>
            <w:r w:rsidRPr="00804E72">
              <w:rPr>
                <w:rFonts w:ascii="Trebuchet MS" w:hAnsi="Trebuchet MS"/>
                <w:color w:val="00CC00"/>
                <w:sz w:val="20"/>
                <w:szCs w:val="20"/>
              </w:rPr>
              <w:t>Provide co-learning framework</w:t>
            </w:r>
          </w:p>
        </w:tc>
        <w:tc>
          <w:tcPr>
            <w:tcW w:w="2880" w:type="dxa"/>
          </w:tcPr>
          <w:p w:rsidR="006250D3" w:rsidRPr="006250D3" w:rsidRDefault="006250D3" w:rsidP="00D22666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Trebuchet MS" w:hAnsi="Trebuchet MS"/>
                <w:color w:val="00CC00"/>
                <w:sz w:val="20"/>
                <w:szCs w:val="20"/>
              </w:rPr>
            </w:pPr>
            <w:r w:rsidRPr="006250D3">
              <w:rPr>
                <w:rFonts w:ascii="Trebuchet MS" w:hAnsi="Trebuchet MS"/>
                <w:color w:val="00CC00"/>
                <w:sz w:val="20"/>
                <w:szCs w:val="20"/>
              </w:rPr>
              <w:t>Small project-oriented grants</w:t>
            </w:r>
          </w:p>
          <w:p w:rsidR="006250D3" w:rsidRPr="006250D3" w:rsidRDefault="00804E72" w:rsidP="00D22666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Trebuchet MS" w:hAnsi="Trebuchet MS"/>
                <w:color w:val="00CC00"/>
                <w:sz w:val="20"/>
                <w:szCs w:val="20"/>
              </w:rPr>
            </w:pPr>
            <w:r>
              <w:rPr>
                <w:rFonts w:ascii="Trebuchet MS" w:hAnsi="Trebuchet MS"/>
                <w:color w:val="00CC00"/>
                <w:sz w:val="20"/>
                <w:szCs w:val="20"/>
              </w:rPr>
              <w:t>T</w:t>
            </w:r>
            <w:r w:rsidR="006250D3" w:rsidRPr="006250D3">
              <w:rPr>
                <w:rFonts w:ascii="Trebuchet MS" w:hAnsi="Trebuchet MS"/>
                <w:color w:val="00CC00"/>
                <w:sz w:val="20"/>
                <w:szCs w:val="20"/>
              </w:rPr>
              <w:t>echnical assistance</w:t>
            </w:r>
          </w:p>
          <w:p w:rsidR="006250D3" w:rsidRPr="006250D3" w:rsidRDefault="006250D3" w:rsidP="00D22666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Trebuchet MS" w:hAnsi="Trebuchet MS"/>
                <w:color w:val="00CC00"/>
                <w:sz w:val="20"/>
                <w:szCs w:val="20"/>
              </w:rPr>
            </w:pPr>
            <w:r w:rsidRPr="006250D3">
              <w:rPr>
                <w:rFonts w:ascii="Trebuchet MS" w:hAnsi="Trebuchet MS"/>
                <w:color w:val="00CC00"/>
                <w:sz w:val="20"/>
                <w:szCs w:val="20"/>
              </w:rPr>
              <w:t>Convening</w:t>
            </w:r>
          </w:p>
          <w:p w:rsidR="006250D3" w:rsidRPr="006250D3" w:rsidRDefault="006250D3" w:rsidP="00D22666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Trebuchet MS" w:hAnsi="Trebuchet MS"/>
                <w:color w:val="00CC00"/>
                <w:sz w:val="20"/>
                <w:szCs w:val="20"/>
              </w:rPr>
            </w:pPr>
            <w:r w:rsidRPr="006250D3">
              <w:rPr>
                <w:rFonts w:ascii="Trebuchet MS" w:hAnsi="Trebuchet MS"/>
                <w:color w:val="00CC00"/>
                <w:sz w:val="20"/>
                <w:szCs w:val="20"/>
              </w:rPr>
              <w:t>Recognition/celebration</w:t>
            </w:r>
          </w:p>
        </w:tc>
      </w:tr>
    </w:tbl>
    <w:p w:rsidR="00CA5689" w:rsidRDefault="00CA5689">
      <w:pPr>
        <w:rPr>
          <w:rFonts w:ascii="Trebuchet MS" w:hAnsi="Trebuchet MS"/>
          <w:sz w:val="48"/>
          <w:szCs w:val="48"/>
        </w:rPr>
      </w:pPr>
    </w:p>
    <w:p w:rsidR="00CA5689" w:rsidRDefault="00CA5689">
      <w:pPr>
        <w:rPr>
          <w:rFonts w:ascii="Trebuchet MS" w:hAnsi="Trebuchet MS"/>
          <w:sz w:val="48"/>
          <w:szCs w:val="48"/>
        </w:rPr>
      </w:pPr>
    </w:p>
    <w:p w:rsidR="00FE7748" w:rsidRPr="00FE7748" w:rsidRDefault="00D22666">
      <w:pPr>
        <w:rPr>
          <w:rFonts w:ascii="Trebuchet MS" w:hAnsi="Trebuchet MS"/>
          <w:sz w:val="48"/>
          <w:szCs w:val="48"/>
        </w:rPr>
      </w:pPr>
      <w:r w:rsidRPr="00FE774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45D21DC" wp14:editId="63E8D640">
                <wp:simplePos x="0" y="0"/>
                <wp:positionH relativeFrom="column">
                  <wp:posOffset>161290</wp:posOffset>
                </wp:positionH>
                <wp:positionV relativeFrom="paragraph">
                  <wp:posOffset>233680</wp:posOffset>
                </wp:positionV>
                <wp:extent cx="2124075" cy="538162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538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31E3" w:rsidRDefault="008231E3">
                            <w:r>
                              <w:rPr>
                                <w:b/>
                              </w:rPr>
                              <w:t>What is layering strategy?</w:t>
                            </w:r>
                          </w:p>
                          <w:p w:rsidR="008231E3" w:rsidRDefault="008231E3"/>
                          <w:p w:rsidR="008231E3" w:rsidRDefault="008231E3">
                            <w:r>
                              <w:t xml:space="preserve">Grassroots </w:t>
                            </w:r>
                            <w:proofErr w:type="spellStart"/>
                            <w:r>
                              <w:t>grantmaking</w:t>
                            </w:r>
                            <w:proofErr w:type="spellEnd"/>
                            <w:r>
                              <w:t xml:space="preserve"> occurs in three areas:</w:t>
                            </w:r>
                          </w:p>
                          <w:p w:rsidR="008231E3" w:rsidRDefault="008231E3"/>
                          <w:p w:rsidR="008231E3" w:rsidRPr="00FE7748" w:rsidRDefault="008231E3" w:rsidP="00FE774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CC00"/>
                              </w:rPr>
                            </w:pPr>
                            <w:r w:rsidRPr="00FE7748">
                              <w:rPr>
                                <w:color w:val="00CC00"/>
                              </w:rPr>
                              <w:t>Stimulating and supporting active citizenship</w:t>
                            </w:r>
                          </w:p>
                          <w:p w:rsidR="008231E3" w:rsidRPr="00FE7748" w:rsidRDefault="008231E3" w:rsidP="00FE774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C45911" w:themeColor="accent2" w:themeShade="BF"/>
                              </w:rPr>
                            </w:pPr>
                            <w:r w:rsidRPr="00FE7748">
                              <w:rPr>
                                <w:color w:val="C45911" w:themeColor="accent2" w:themeShade="BF"/>
                              </w:rPr>
                              <w:t>Building community capacity and strengthening resident voice</w:t>
                            </w:r>
                          </w:p>
                          <w:p w:rsidR="008231E3" w:rsidRDefault="008231E3" w:rsidP="00FE774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2E74B5" w:themeColor="accent1" w:themeShade="BF"/>
                              </w:rPr>
                            </w:pPr>
                            <w:r w:rsidRPr="00FE7748">
                              <w:rPr>
                                <w:color w:val="2E74B5" w:themeColor="accent1" w:themeShade="BF"/>
                              </w:rPr>
                              <w:t>Supporting citizen-centered change</w:t>
                            </w:r>
                          </w:p>
                          <w:p w:rsidR="00D22666" w:rsidRDefault="00D22666" w:rsidP="00FE774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8231E3" w:rsidRDefault="008231E3" w:rsidP="00FE7748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A layering strategy builds on each of these areas over time, meaning the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nvestment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in stimulating and supporting active citizenship is ongoing. And this investment is strengthened when additional engagement and tools are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are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added to the mix, resulting in a strong, sustainable foundation for work focused on building community capacity and supporting citizen-centered change.</w:t>
                            </w:r>
                          </w:p>
                          <w:p w:rsidR="008231E3" w:rsidRPr="00FE7748" w:rsidRDefault="008231E3" w:rsidP="00FE774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45D21DC" id="_x0000_s1027" type="#_x0000_t202" style="position:absolute;margin-left:12.7pt;margin-top:18.4pt;width:167.25pt;height:423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" stroked="f">
                <v:textbox>
                  <w:txbxContent>
                    <w:p w:rsidR="008231E3" w:rsidRDefault="008231E3">
                      <w:r>
                        <w:rPr>
                          <w:b/>
                        </w:rPr>
                        <w:t>What is layering strategy?</w:t>
                      </w:r>
                    </w:p>
                    <w:p w:rsidR="008231E3" w:rsidRDefault="008231E3"/>
                    <w:p w:rsidR="008231E3" w:rsidRDefault="008231E3">
                      <w:r>
                        <w:t>Grassroots grantmaking occurs in three areas:</w:t>
                      </w:r>
                    </w:p>
                    <w:p w:rsidR="008231E3" w:rsidRDefault="008231E3"/>
                    <w:p w:rsidR="008231E3" w:rsidRPr="00FE7748" w:rsidRDefault="008231E3" w:rsidP="00FE774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CC00"/>
                        </w:rPr>
                      </w:pPr>
                      <w:r w:rsidRPr="00FE7748">
                        <w:rPr>
                          <w:color w:val="00CC00"/>
                        </w:rPr>
                        <w:t>Stimulating and supporting active citizenship</w:t>
                      </w:r>
                    </w:p>
                    <w:p w:rsidR="008231E3" w:rsidRPr="00FE7748" w:rsidRDefault="008231E3" w:rsidP="00FE774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C45911" w:themeColor="accent2" w:themeShade="BF"/>
                        </w:rPr>
                      </w:pPr>
                      <w:r w:rsidRPr="00FE7748">
                        <w:rPr>
                          <w:color w:val="C45911" w:themeColor="accent2" w:themeShade="BF"/>
                        </w:rPr>
                        <w:t>Building community capacity and strengthening resident voice</w:t>
                      </w:r>
                    </w:p>
                    <w:p w:rsidR="008231E3" w:rsidRDefault="008231E3" w:rsidP="00FE774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2E74B5" w:themeColor="accent1" w:themeShade="BF"/>
                        </w:rPr>
                      </w:pPr>
                      <w:r w:rsidRPr="00FE7748">
                        <w:rPr>
                          <w:color w:val="2E74B5" w:themeColor="accent1" w:themeShade="BF"/>
                        </w:rPr>
                        <w:t>Supporting citizen-centered change</w:t>
                      </w:r>
                    </w:p>
                    <w:p w:rsidR="00D22666" w:rsidRDefault="00D22666" w:rsidP="00FE7748">
                      <w:pPr>
                        <w:rPr>
                          <w:color w:val="000000" w:themeColor="text1"/>
                        </w:rPr>
                      </w:pPr>
                    </w:p>
                    <w:p w:rsidR="008231E3" w:rsidRDefault="008231E3" w:rsidP="00FE7748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A layering strategy builds on each of these areas over time, meaning the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nvestment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in stimulating and supporting active citizenship is ongoing. And this investment is strengthened when additional engagement and tools are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are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added to the mix, resulting in a strong, sustainable foundation for work focused on building community capacity and supporting citizen-centered change.</w:t>
                      </w:r>
                    </w:p>
                    <w:p w:rsidR="008231E3" w:rsidRPr="00FE7748" w:rsidRDefault="008231E3" w:rsidP="00FE7748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E7748" w:rsidRPr="00FE7748" w:rsidSect="006250D3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E6B62"/>
    <w:multiLevelType w:val="hybridMultilevel"/>
    <w:tmpl w:val="CBE6F6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2B1382"/>
    <w:multiLevelType w:val="hybridMultilevel"/>
    <w:tmpl w:val="C93223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716AA5"/>
    <w:multiLevelType w:val="hybridMultilevel"/>
    <w:tmpl w:val="66F658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38630B"/>
    <w:multiLevelType w:val="hybridMultilevel"/>
    <w:tmpl w:val="B8E84E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F07A6A"/>
    <w:multiLevelType w:val="hybridMultilevel"/>
    <w:tmpl w:val="048E08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748"/>
    <w:rsid w:val="00253C7E"/>
    <w:rsid w:val="00400567"/>
    <w:rsid w:val="00483816"/>
    <w:rsid w:val="00505874"/>
    <w:rsid w:val="0059074E"/>
    <w:rsid w:val="006250D3"/>
    <w:rsid w:val="006F4BA1"/>
    <w:rsid w:val="00804E72"/>
    <w:rsid w:val="008231E3"/>
    <w:rsid w:val="00A95ABF"/>
    <w:rsid w:val="00C3575E"/>
    <w:rsid w:val="00CA5689"/>
    <w:rsid w:val="00D22666"/>
    <w:rsid w:val="00F524B9"/>
    <w:rsid w:val="00FE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7748"/>
    <w:pPr>
      <w:ind w:left="720"/>
      <w:contextualSpacing/>
    </w:pPr>
  </w:style>
  <w:style w:type="table" w:styleId="TableGrid">
    <w:name w:val="Table Grid"/>
    <w:basedOn w:val="TableNormal"/>
    <w:uiPriority w:val="39"/>
    <w:rsid w:val="00CA56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3C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C7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7748"/>
    <w:pPr>
      <w:ind w:left="720"/>
      <w:contextualSpacing/>
    </w:pPr>
  </w:style>
  <w:style w:type="table" w:styleId="TableGrid">
    <w:name w:val="Table Grid"/>
    <w:basedOn w:val="TableNormal"/>
    <w:uiPriority w:val="39"/>
    <w:rsid w:val="00CA56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3C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C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Anschutz Corporation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Duran</dc:creator>
  <cp:lastModifiedBy>Abel Wurmnest</cp:lastModifiedBy>
  <cp:revision>2</cp:revision>
  <cp:lastPrinted>2015-04-15T21:53:00Z</cp:lastPrinted>
  <dcterms:created xsi:type="dcterms:W3CDTF">2015-05-30T02:02:00Z</dcterms:created>
  <dcterms:modified xsi:type="dcterms:W3CDTF">2015-05-30T02:02:00Z</dcterms:modified>
</cp:coreProperties>
</file>